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13" w:rsidRDefault="0079641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796413" w:rsidRDefault="00853B80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Generales de la vacante: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4821"/>
      </w:tblGrid>
      <w:tr w:rsidR="0079641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13" w:rsidRDefault="00853B80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Dependencia, Entidad y Unidad de Apoyo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13" w:rsidRDefault="00853B80">
            <w:pPr>
              <w:spacing w:after="2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Dependencia, Entidad y Unidad de Apoyo que tiene la vacante</w:t>
            </w:r>
          </w:p>
        </w:tc>
      </w:tr>
      <w:tr w:rsidR="0079641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13" w:rsidRDefault="00853B80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Puesto Vacante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13" w:rsidRDefault="00853B80">
            <w:pPr>
              <w:spacing w:after="2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funcional del puesto vacante y secuencial</w:t>
            </w:r>
          </w:p>
        </w:tc>
      </w:tr>
    </w:tbl>
    <w:p w:rsidR="00796413" w:rsidRDefault="0079641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91"/>
        <w:gridCol w:w="1536"/>
        <w:gridCol w:w="1692"/>
        <w:gridCol w:w="2009"/>
      </w:tblGrid>
      <w:tr w:rsidR="00796413">
        <w:trPr>
          <w:trHeight w:val="540"/>
        </w:trPr>
        <w:tc>
          <w:tcPr>
            <w:tcW w:w="1526" w:type="dxa"/>
            <w:vMerge w:val="restart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Nombre de la persona </w:t>
            </w:r>
          </w:p>
        </w:tc>
        <w:tc>
          <w:tcPr>
            <w:tcW w:w="3827" w:type="dxa"/>
            <w:gridSpan w:val="2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Calificación  de evaluaciones</w:t>
            </w:r>
          </w:p>
        </w:tc>
        <w:tc>
          <w:tcPr>
            <w:tcW w:w="1692" w:type="dxa"/>
            <w:vMerge w:val="restart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Calificación  de entrevista de selección</w:t>
            </w:r>
          </w:p>
        </w:tc>
        <w:tc>
          <w:tcPr>
            <w:tcW w:w="2009" w:type="dxa"/>
            <w:vMerge w:val="restart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Calificación final</w:t>
            </w:r>
          </w:p>
        </w:tc>
      </w:tr>
      <w:tr w:rsidR="00796413">
        <w:trPr>
          <w:trHeight w:val="280"/>
        </w:trPr>
        <w:tc>
          <w:tcPr>
            <w:tcW w:w="1526" w:type="dxa"/>
            <w:vMerge/>
            <w:vAlign w:val="center"/>
          </w:tcPr>
          <w:p w:rsidR="00796413" w:rsidRDefault="0079641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Evaluación técnica</w:t>
            </w:r>
          </w:p>
        </w:tc>
        <w:tc>
          <w:tcPr>
            <w:tcW w:w="1536" w:type="dxa"/>
            <w:vAlign w:val="center"/>
          </w:tcPr>
          <w:p w:rsidR="00796413" w:rsidRDefault="00853B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Verificación de referencias laborales</w:t>
            </w:r>
          </w:p>
        </w:tc>
        <w:tc>
          <w:tcPr>
            <w:tcW w:w="1692" w:type="dxa"/>
            <w:vMerge/>
            <w:vAlign w:val="center"/>
          </w:tcPr>
          <w:p w:rsidR="00796413" w:rsidRDefault="00796413">
            <w:pPr>
              <w:widowControl w:val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09" w:type="dxa"/>
            <w:vMerge/>
            <w:vAlign w:val="center"/>
          </w:tcPr>
          <w:p w:rsidR="00796413" w:rsidRDefault="0079641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96413" w:rsidRDefault="0079641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796413">
        <w:tc>
          <w:tcPr>
            <w:tcW w:w="1526" w:type="dxa"/>
          </w:tcPr>
          <w:p w:rsidR="00796413" w:rsidRDefault="00853B80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1. Nombre de la persona </w:t>
            </w:r>
          </w:p>
        </w:tc>
        <w:tc>
          <w:tcPr>
            <w:tcW w:w="2291" w:type="dxa"/>
          </w:tcPr>
          <w:p w:rsidR="00796413" w:rsidRDefault="00853B80">
            <w:pPr>
              <w:numPr>
                <w:ilvl w:val="0"/>
                <w:numId w:val="1"/>
              </w:numPr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En caso que le corresponda al puesto evaluación técnica: Se indica el porcentaje de evaluación técnica que obtuvo la persona.</w:t>
            </w:r>
          </w:p>
          <w:p w:rsidR="00796413" w:rsidRDefault="00853B80">
            <w:pPr>
              <w:numPr>
                <w:ilvl w:val="0"/>
                <w:numId w:val="1"/>
              </w:numPr>
              <w:spacing w:after="200"/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Si no le corresponde evaluación técnica al puesto, se indica NA.</w:t>
            </w:r>
          </w:p>
        </w:tc>
        <w:tc>
          <w:tcPr>
            <w:tcW w:w="1536" w:type="dxa"/>
          </w:tcPr>
          <w:p w:rsidR="00796413" w:rsidRDefault="00853B80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porcentaje que le corresponde a la persona de acuerdo con su verificación de referencias laborales.</w:t>
            </w:r>
          </w:p>
        </w:tc>
        <w:tc>
          <w:tcPr>
            <w:tcW w:w="1692" w:type="dxa"/>
          </w:tcPr>
          <w:p w:rsidR="00796413" w:rsidRDefault="00853B8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de la entrevista de selección que obtuvo la persona.</w:t>
            </w:r>
          </w:p>
        </w:tc>
        <w:tc>
          <w:tcPr>
            <w:tcW w:w="2009" w:type="dxa"/>
          </w:tcPr>
          <w:p w:rsidR="00796413" w:rsidRDefault="00853B8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sumatoria final.</w:t>
            </w:r>
          </w:p>
        </w:tc>
      </w:tr>
      <w:tr w:rsidR="00796413">
        <w:tc>
          <w:tcPr>
            <w:tcW w:w="1526" w:type="dxa"/>
          </w:tcPr>
          <w:p w:rsidR="00796413" w:rsidRDefault="00853B80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2. Nombre de la persona </w:t>
            </w:r>
          </w:p>
        </w:tc>
        <w:tc>
          <w:tcPr>
            <w:tcW w:w="2291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96413">
        <w:tc>
          <w:tcPr>
            <w:tcW w:w="1526" w:type="dxa"/>
          </w:tcPr>
          <w:p w:rsidR="00796413" w:rsidRDefault="00853B80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3. Nombre de la persona </w:t>
            </w:r>
          </w:p>
        </w:tc>
        <w:tc>
          <w:tcPr>
            <w:tcW w:w="2291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6413" w:rsidRDefault="0079641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96413" w:rsidRDefault="0079641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796413" w:rsidRDefault="00853B80">
      <w:pPr>
        <w:spacing w:line="240" w:lineRule="auto"/>
        <w:jc w:val="both"/>
        <w:rPr>
          <w:rFonts w:ascii="Arial Narrow" w:eastAsia="Arial Narrow" w:hAnsi="Arial Narrow" w:cs="Arial Narrow"/>
          <w:i/>
          <w:color w:val="A6A6A6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Nombre de la persona ganadora de vacante: </w:t>
      </w:r>
      <w:r>
        <w:rPr>
          <w:rFonts w:ascii="Arial Narrow" w:eastAsia="Arial Narrow" w:hAnsi="Arial Narrow" w:cs="Arial Narrow"/>
          <w:i/>
          <w:color w:val="A6A6A6"/>
        </w:rPr>
        <w:t xml:space="preserve">Se indica el nombre de la persona ganadora de la vacante. </w:t>
      </w:r>
    </w:p>
    <w:p w:rsidR="00796413" w:rsidRDefault="00853B80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_____, Gto; a _________ de 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201</w:t>
      </w:r>
      <w:r w:rsidR="00DA6594">
        <w:rPr>
          <w:rFonts w:ascii="Arial Narrow" w:eastAsia="Arial Narrow" w:hAnsi="Arial Narrow" w:cs="Arial Narrow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96413" w:rsidRDefault="00853B80">
      <w:pPr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A40409" w:rsidRPr="00CA7491" w:rsidRDefault="00A40409" w:rsidP="00A40409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A40409" w:rsidRPr="00CA7491" w:rsidRDefault="00A40409" w:rsidP="00A40409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A40409" w:rsidRPr="00CA7491" w:rsidRDefault="00A40409" w:rsidP="00A40409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lastRenderedPageBreak/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A40409" w:rsidRPr="00CA7491" w:rsidRDefault="00A40409" w:rsidP="00A40409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A40409" w:rsidRPr="00CA7491" w:rsidRDefault="00A40409" w:rsidP="00A4040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A40409" w:rsidRDefault="00A40409" w:rsidP="00A40409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796413" w:rsidRDefault="00853B8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NOMBRE Y PUESTO DE LA PERSONA SERVIDORA PÚBLICA DE RECURSOS HUMANOS</w:t>
      </w:r>
    </w:p>
    <w:p w:rsidR="00796413" w:rsidRDefault="00853B8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 LA DEPENDENCIA, ENTIDAD Y UNIDAD DE APOYO</w:t>
      </w:r>
    </w:p>
    <w:p w:rsidR="00796413" w:rsidRDefault="0079641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796413">
      <w:headerReference w:type="default" r:id="rId7"/>
      <w:pgSz w:w="12240" w:h="15840"/>
      <w:pgMar w:top="223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61" w:rsidRDefault="000C2561">
      <w:pPr>
        <w:spacing w:after="0" w:line="240" w:lineRule="auto"/>
      </w:pPr>
      <w:r>
        <w:separator/>
      </w:r>
    </w:p>
  </w:endnote>
  <w:endnote w:type="continuationSeparator" w:id="0">
    <w:p w:rsidR="000C2561" w:rsidRDefault="000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61" w:rsidRDefault="000C2561">
      <w:pPr>
        <w:spacing w:after="0" w:line="240" w:lineRule="auto"/>
      </w:pPr>
      <w:r>
        <w:separator/>
      </w:r>
    </w:p>
  </w:footnote>
  <w:footnote w:type="continuationSeparator" w:id="0">
    <w:p w:rsidR="000C2561" w:rsidRDefault="000C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D9" w:rsidRDefault="004E4FD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F183D" wp14:editId="4591AD9B">
          <wp:simplePos x="0" y="0"/>
          <wp:positionH relativeFrom="column">
            <wp:posOffset>4476750</wp:posOffset>
          </wp:positionH>
          <wp:positionV relativeFrom="paragraph">
            <wp:posOffset>92075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-352425</wp:posOffset>
          </wp:positionH>
          <wp:positionV relativeFrom="paragraph">
            <wp:posOffset>101600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4FD9" w:rsidRDefault="004E4FD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4E4FD9" w:rsidRDefault="004E4FD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4E4FD9" w:rsidRDefault="004E4FD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796413" w:rsidRDefault="008655FE" w:rsidP="004E4FD9">
    <w:pPr>
      <w:tabs>
        <w:tab w:val="left" w:pos="3132"/>
        <w:tab w:val="right" w:pos="8505"/>
      </w:tabs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rFonts w:ascii="Arial Narrow" w:eastAsia="Arial Narrow" w:hAnsi="Arial Narrow" w:cs="Arial Narrow"/>
      </w:rPr>
      <w:t>Datos de la DEPENDENCIA</w:t>
    </w:r>
    <w:r w:rsidR="00853B80">
      <w:rPr>
        <w:rFonts w:ascii="Arial Narrow" w:eastAsia="Arial Narrow" w:hAnsi="Arial Narrow" w:cs="Arial Narrow"/>
      </w:rPr>
      <w:t>, ENTIDAD Y UNIDAD DE APOYO</w:t>
    </w:r>
    <w:r w:rsidR="00853B80">
      <w:rPr>
        <w:rFonts w:ascii="Century Gothic" w:eastAsia="Century Gothic" w:hAnsi="Century Gothic" w:cs="Century Gothic"/>
        <w:sz w:val="16"/>
        <w:szCs w:val="16"/>
      </w:rPr>
      <w:t xml:space="preserve">                                                                                                </w:t>
    </w:r>
  </w:p>
  <w:p w:rsidR="00796413" w:rsidRDefault="00853B80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Acta de resultados finales</w:t>
    </w:r>
  </w:p>
  <w:p w:rsidR="004E4FD9" w:rsidRDefault="004E4FD9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AF7"/>
    <w:multiLevelType w:val="multilevel"/>
    <w:tmpl w:val="1C96E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3"/>
    <w:rsid w:val="0005783D"/>
    <w:rsid w:val="000C2561"/>
    <w:rsid w:val="000F0491"/>
    <w:rsid w:val="00481C8E"/>
    <w:rsid w:val="004E4FD9"/>
    <w:rsid w:val="00796413"/>
    <w:rsid w:val="00853B80"/>
    <w:rsid w:val="008655FE"/>
    <w:rsid w:val="00A40409"/>
    <w:rsid w:val="00D86860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C8BAF0-EDEE-478B-BC9C-22FC6FD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5FE"/>
  </w:style>
  <w:style w:type="paragraph" w:styleId="Piedepgina">
    <w:name w:val="footer"/>
    <w:basedOn w:val="Normal"/>
    <w:link w:val="PiedepginaCar"/>
    <w:uiPriority w:val="99"/>
    <w:unhideWhenUsed/>
    <w:rsid w:val="0086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FE"/>
  </w:style>
  <w:style w:type="paragraph" w:styleId="Prrafodelista">
    <w:name w:val="List Paragraph"/>
    <w:basedOn w:val="Normal"/>
    <w:uiPriority w:val="34"/>
    <w:qFormat/>
    <w:rsid w:val="00A40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2019-07-04T19:02:00Z</dcterms:created>
  <dcterms:modified xsi:type="dcterms:W3CDTF">2019-07-04T19:02:00Z</dcterms:modified>
</cp:coreProperties>
</file>